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ДМБУА-3-7/7778-ВН от 02.02.2026</w:t>
      </w:r>
    </w:p>
    <w:tbl>
      <w:tblPr>
        <w:tblStyle w:val="a3"/>
        <w:tblW w:w="0" w:type="auto"/>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EC4585" w:rsidRPr="00EC4585" w14:paraId="2B15EE45" w14:textId="77777777" w:rsidTr="00380A66">
        <w:tc>
          <w:tcPr>
            <w:tcW w:w="3396" w:type="dxa"/>
            <w:tcBorders>
              <w:top w:val="nil"/>
              <w:left w:val="nil"/>
              <w:bottom w:val="nil"/>
              <w:right w:val="nil"/>
            </w:tcBorders>
          </w:tcPr>
          <w:p w14:paraId="09483520" w14:textId="77777777" w:rsidR="000A4383" w:rsidRPr="00EC4585" w:rsidRDefault="00C96A19" w:rsidP="000A4383">
            <w:pPr>
              <w:rPr>
                <w:i/>
                <w:sz w:val="28"/>
                <w:szCs w:val="28"/>
                <w:lang w:val="kk-KZ"/>
              </w:rPr>
            </w:pPr>
            <w:r w:rsidRPr="00EC4585">
              <w:rPr>
                <w:sz w:val="28"/>
                <w:szCs w:val="28"/>
              </w:rPr>
              <w:t xml:space="preserve">Приложение </w:t>
            </w:r>
            <w:r w:rsidR="00032CD4">
              <w:rPr>
                <w:sz w:val="28"/>
                <w:szCs w:val="28"/>
                <w:lang w:val="kk-KZ"/>
              </w:rPr>
              <w:t>6</w:t>
            </w:r>
            <w:r w:rsidRPr="00EC4585">
              <w:rPr>
                <w:sz w:val="28"/>
                <w:szCs w:val="28"/>
              </w:rPr>
              <w:t xml:space="preserve"> к приказу</w:t>
            </w:r>
          </w:p>
          <w:p w14:paraId="322AB2B1" w14:textId="77777777" w:rsidR="000A4383" w:rsidRPr="00EC4585" w:rsidRDefault="000A4383" w:rsidP="00664407">
            <w:pPr>
              <w:rPr>
                <w:i/>
                <w:sz w:val="28"/>
                <w:szCs w:val="28"/>
                <w:lang w:val="kk-KZ"/>
              </w:rPr>
            </w:pPr>
          </w:p>
        </w:tc>
      </w:tr>
    </w:tbl>
    <w:p w14:paraId="036288DD" w14:textId="77777777" w:rsidR="00032CD4" w:rsidRPr="00032CD4" w:rsidRDefault="007D0BA0" w:rsidP="00032CD4">
      <w:pPr>
        <w:tabs>
          <w:tab w:val="left" w:pos="820"/>
        </w:tabs>
        <w:jc w:val="center"/>
        <w:rPr>
          <w:sz w:val="28"/>
          <w:szCs w:val="28"/>
        </w:rPr>
      </w:pPr>
      <w:r w:rsidRPr="00EC4585">
        <w:rPr>
          <w:sz w:val="28"/>
          <w:szCs w:val="28"/>
        </w:rPr>
        <w:t xml:space="preserve">                                                             </w:t>
      </w:r>
      <w:r w:rsidR="00EC4585">
        <w:rPr>
          <w:sz w:val="28"/>
          <w:szCs w:val="28"/>
        </w:rPr>
        <w:tab/>
      </w:r>
      <w:r w:rsidR="00EC4585">
        <w:rPr>
          <w:sz w:val="28"/>
          <w:szCs w:val="28"/>
        </w:rPr>
        <w:tab/>
      </w:r>
      <w:r w:rsidR="00EC4585" w:rsidRPr="00EC4585">
        <w:rPr>
          <w:sz w:val="28"/>
          <w:szCs w:val="28"/>
        </w:rPr>
        <w:t xml:space="preserve">Приложение </w:t>
      </w:r>
      <w:r w:rsidR="00032CD4">
        <w:rPr>
          <w:sz w:val="28"/>
          <w:szCs w:val="28"/>
          <w:lang w:val="kk-KZ"/>
        </w:rPr>
        <w:t>1</w:t>
      </w:r>
      <w:r w:rsidR="00EC4585" w:rsidRPr="00EC4585">
        <w:rPr>
          <w:sz w:val="28"/>
          <w:szCs w:val="28"/>
        </w:rPr>
        <w:br/>
        <w:t xml:space="preserve">                                              </w:t>
      </w:r>
      <w:r w:rsidR="00EC4585">
        <w:rPr>
          <w:sz w:val="28"/>
          <w:szCs w:val="28"/>
        </w:rPr>
        <w:tab/>
      </w:r>
      <w:r w:rsidR="00EC4585">
        <w:rPr>
          <w:sz w:val="28"/>
          <w:szCs w:val="28"/>
        </w:rPr>
        <w:tab/>
      </w:r>
      <w:r w:rsidR="00EC4585">
        <w:rPr>
          <w:sz w:val="28"/>
          <w:szCs w:val="28"/>
        </w:rPr>
        <w:tab/>
      </w:r>
      <w:r w:rsidR="00EC4585">
        <w:rPr>
          <w:sz w:val="28"/>
          <w:szCs w:val="28"/>
        </w:rPr>
        <w:tab/>
      </w:r>
      <w:r w:rsidR="00032CD4" w:rsidRPr="00032CD4">
        <w:rPr>
          <w:sz w:val="28"/>
          <w:szCs w:val="28"/>
        </w:rPr>
        <w:t xml:space="preserve">к Правилам проведения  </w:t>
      </w:r>
      <w:r w:rsidR="00032CD4" w:rsidRPr="00032CD4">
        <w:rPr>
          <w:sz w:val="28"/>
          <w:szCs w:val="28"/>
        </w:rPr>
        <w:br/>
      </w:r>
      <w:r w:rsidR="00032CD4" w:rsidRPr="00032CD4">
        <w:rPr>
          <w:sz w:val="28"/>
          <w:szCs w:val="28"/>
          <w:lang w:val="kk-KZ"/>
        </w:rPr>
        <w:t xml:space="preserve">                                          </w:t>
      </w:r>
      <w:r w:rsidR="00032CD4">
        <w:rPr>
          <w:sz w:val="28"/>
          <w:szCs w:val="28"/>
          <w:lang w:val="kk-KZ"/>
        </w:rPr>
        <w:tab/>
      </w:r>
      <w:r w:rsidR="00032CD4">
        <w:rPr>
          <w:sz w:val="28"/>
          <w:szCs w:val="28"/>
          <w:lang w:val="kk-KZ"/>
        </w:rPr>
        <w:tab/>
      </w:r>
      <w:r w:rsidR="00032CD4">
        <w:rPr>
          <w:sz w:val="28"/>
          <w:szCs w:val="28"/>
          <w:lang w:val="kk-KZ"/>
        </w:rPr>
        <w:tab/>
      </w:r>
      <w:r w:rsidR="00032CD4">
        <w:rPr>
          <w:sz w:val="28"/>
          <w:szCs w:val="28"/>
          <w:lang w:val="kk-KZ"/>
        </w:rPr>
        <w:tab/>
      </w:r>
      <w:r w:rsidR="00032CD4" w:rsidRPr="00032CD4">
        <w:rPr>
          <w:sz w:val="28"/>
          <w:szCs w:val="28"/>
        </w:rPr>
        <w:t>внутреннего государственного</w:t>
      </w:r>
    </w:p>
    <w:p w14:paraId="762937CF" w14:textId="77777777" w:rsidR="00032CD4" w:rsidRPr="00032CD4" w:rsidRDefault="00032CD4" w:rsidP="00032CD4">
      <w:pPr>
        <w:jc w:val="center"/>
        <w:rPr>
          <w:sz w:val="28"/>
          <w:szCs w:val="28"/>
        </w:rPr>
      </w:pPr>
      <w:r w:rsidRPr="00032CD4">
        <w:rPr>
          <w:sz w:val="28"/>
          <w:szCs w:val="28"/>
          <w:lang w:val="kk-KZ"/>
        </w:rPr>
        <w:t xml:space="preserve">                                        </w:t>
      </w:r>
      <w:r>
        <w:rPr>
          <w:sz w:val="28"/>
          <w:szCs w:val="28"/>
          <w:lang w:val="kk-KZ"/>
        </w:rPr>
        <w:tab/>
      </w:r>
      <w:r>
        <w:rPr>
          <w:sz w:val="28"/>
          <w:szCs w:val="28"/>
          <w:lang w:val="kk-KZ"/>
        </w:rPr>
        <w:tab/>
      </w:r>
      <w:r>
        <w:rPr>
          <w:sz w:val="28"/>
          <w:szCs w:val="28"/>
          <w:lang w:val="kk-KZ"/>
        </w:rPr>
        <w:tab/>
      </w:r>
      <w:r>
        <w:rPr>
          <w:sz w:val="28"/>
          <w:szCs w:val="28"/>
          <w:lang w:val="kk-KZ"/>
        </w:rPr>
        <w:tab/>
      </w:r>
      <w:r>
        <w:rPr>
          <w:sz w:val="28"/>
          <w:szCs w:val="28"/>
          <w:lang w:val="kk-KZ"/>
        </w:rPr>
        <w:tab/>
      </w:r>
      <w:r w:rsidRPr="00032CD4">
        <w:rPr>
          <w:sz w:val="28"/>
          <w:szCs w:val="28"/>
        </w:rPr>
        <w:t>аудита и финансового контроля</w:t>
      </w:r>
    </w:p>
    <w:p w14:paraId="264F02E0" w14:textId="77777777" w:rsidR="00032CD4" w:rsidRPr="00032CD4" w:rsidRDefault="00032CD4" w:rsidP="00032CD4">
      <w:pPr>
        <w:rPr>
          <w:sz w:val="28"/>
          <w:szCs w:val="28"/>
        </w:rPr>
      </w:pPr>
      <w:r w:rsidRPr="00032CD4">
        <w:rPr>
          <w:sz w:val="28"/>
          <w:szCs w:val="28"/>
        </w:rPr>
        <w:t xml:space="preserve">   </w:t>
      </w:r>
      <w:r w:rsidRPr="00032CD4">
        <w:rPr>
          <w:sz w:val="28"/>
          <w:szCs w:val="28"/>
          <w:lang w:val="kk-KZ"/>
        </w:rPr>
        <w:t xml:space="preserve">                                       </w:t>
      </w:r>
      <w:r>
        <w:rPr>
          <w:sz w:val="28"/>
          <w:szCs w:val="28"/>
          <w:lang w:val="kk-KZ"/>
        </w:rPr>
        <w:tab/>
      </w:r>
      <w:r w:rsidRPr="00032CD4">
        <w:rPr>
          <w:sz w:val="28"/>
          <w:szCs w:val="28"/>
          <w:lang w:val="kk-KZ"/>
        </w:rPr>
        <w:t xml:space="preserve"> </w:t>
      </w:r>
      <w:r>
        <w:rPr>
          <w:sz w:val="28"/>
          <w:szCs w:val="28"/>
          <w:lang w:val="kk-KZ"/>
        </w:rPr>
        <w:tab/>
      </w:r>
      <w:r>
        <w:rPr>
          <w:sz w:val="28"/>
          <w:szCs w:val="28"/>
          <w:lang w:val="kk-KZ"/>
        </w:rPr>
        <w:tab/>
      </w:r>
      <w:r>
        <w:rPr>
          <w:sz w:val="28"/>
          <w:szCs w:val="28"/>
          <w:lang w:val="kk-KZ"/>
        </w:rPr>
        <w:tab/>
        <w:t xml:space="preserve">    </w:t>
      </w:r>
      <w:r w:rsidRPr="00032CD4">
        <w:rPr>
          <w:sz w:val="28"/>
          <w:szCs w:val="28"/>
        </w:rPr>
        <w:t>службами внутреннего аудита</w:t>
      </w:r>
    </w:p>
    <w:p w14:paraId="402E1CD3" w14:textId="77777777" w:rsidR="00EC4585" w:rsidRPr="00EC4585" w:rsidRDefault="00EC4585" w:rsidP="00032CD4">
      <w:pPr>
        <w:tabs>
          <w:tab w:val="left" w:pos="820"/>
        </w:tabs>
        <w:jc w:val="center"/>
        <w:rPr>
          <w:sz w:val="28"/>
          <w:szCs w:val="28"/>
        </w:rPr>
      </w:pPr>
    </w:p>
    <w:p w14:paraId="44148F23" w14:textId="77777777" w:rsidR="00032CD4" w:rsidRPr="00032CD4" w:rsidRDefault="00032CD4" w:rsidP="00032CD4">
      <w:pPr>
        <w:jc w:val="both"/>
        <w:rPr>
          <w:sz w:val="28"/>
          <w:szCs w:val="28"/>
        </w:rPr>
      </w:pPr>
      <w:r>
        <w:rPr>
          <w:sz w:val="28"/>
          <w:szCs w:val="28"/>
          <w:lang w:val="kk-KZ"/>
        </w:rPr>
        <w:t xml:space="preserve">                                                                                                        </w:t>
      </w:r>
      <w:r w:rsidRPr="00032CD4">
        <w:rPr>
          <w:sz w:val="28"/>
          <w:szCs w:val="28"/>
        </w:rPr>
        <w:t>Форма</w:t>
      </w:r>
    </w:p>
    <w:p w14:paraId="63C40C4D" w14:textId="77777777" w:rsidR="00032CD4" w:rsidRPr="00032CD4" w:rsidRDefault="00032CD4" w:rsidP="00032CD4">
      <w:pPr>
        <w:spacing w:before="100" w:beforeAutospacing="1" w:after="100" w:afterAutospacing="1"/>
        <w:jc w:val="center"/>
        <w:outlineLvl w:val="2"/>
        <w:rPr>
          <w:b/>
          <w:bCs/>
          <w:sz w:val="28"/>
          <w:szCs w:val="28"/>
        </w:rPr>
      </w:pPr>
      <w:r w:rsidRPr="00032CD4">
        <w:rPr>
          <w:b/>
          <w:bCs/>
          <w:sz w:val="28"/>
          <w:szCs w:val="28"/>
        </w:rPr>
        <w:t>Примерный перечень вопросов, изучаемых ведомством уполномоченного органа по внутреннему государственному аудиту и его территориальными подразделениями в ходе предварительного изучения деятельности объекта государственного аудита</w:t>
      </w:r>
    </w:p>
    <w:tbl>
      <w:tblPr>
        <w:tblStyle w:val="a3"/>
        <w:tblW w:w="0" w:type="auto"/>
        <w:tblLayout w:type="fixed"/>
        <w:tblLook w:val="04A0" w:firstRow="1" w:lastRow="0" w:firstColumn="1" w:lastColumn="0" w:noHBand="0" w:noVBand="1"/>
      </w:tblPr>
      <w:tblGrid>
        <w:gridCol w:w="4106"/>
        <w:gridCol w:w="5528"/>
      </w:tblGrid>
      <w:tr w:rsidR="00032CD4" w:rsidRPr="00032CD4" w14:paraId="410D877A" w14:textId="77777777" w:rsidTr="00032CD4">
        <w:tc>
          <w:tcPr>
            <w:tcW w:w="4106" w:type="dxa"/>
          </w:tcPr>
          <w:p w14:paraId="7318D6F6" w14:textId="77777777" w:rsidR="00032CD4" w:rsidRPr="00032CD4" w:rsidRDefault="00032CD4" w:rsidP="00AD4205">
            <w:pPr>
              <w:spacing w:before="100" w:beforeAutospacing="1" w:after="100" w:afterAutospacing="1"/>
              <w:jc w:val="both"/>
              <w:outlineLvl w:val="2"/>
              <w:rPr>
                <w:bCs/>
                <w:sz w:val="28"/>
                <w:szCs w:val="28"/>
              </w:rPr>
            </w:pPr>
            <w:r w:rsidRPr="00032CD4">
              <w:rPr>
                <w:bCs/>
                <w:sz w:val="28"/>
                <w:szCs w:val="28"/>
              </w:rPr>
              <w:t xml:space="preserve">Вопросы </w:t>
            </w:r>
          </w:p>
        </w:tc>
        <w:tc>
          <w:tcPr>
            <w:tcW w:w="5528" w:type="dxa"/>
          </w:tcPr>
          <w:p w14:paraId="1AFB9846" w14:textId="77777777" w:rsidR="00032CD4" w:rsidRPr="00032CD4" w:rsidRDefault="00032CD4" w:rsidP="00AD4205">
            <w:pPr>
              <w:spacing w:before="100" w:beforeAutospacing="1" w:after="100" w:afterAutospacing="1"/>
              <w:jc w:val="both"/>
              <w:outlineLvl w:val="2"/>
              <w:rPr>
                <w:bCs/>
                <w:sz w:val="28"/>
                <w:szCs w:val="28"/>
              </w:rPr>
            </w:pPr>
            <w:r w:rsidRPr="00032CD4">
              <w:rPr>
                <w:bCs/>
                <w:sz w:val="28"/>
                <w:szCs w:val="28"/>
              </w:rPr>
              <w:t>Источники информации</w:t>
            </w:r>
          </w:p>
        </w:tc>
      </w:tr>
      <w:tr w:rsidR="00032CD4" w:rsidRPr="00032CD4" w14:paraId="2E3D5ADD" w14:textId="77777777" w:rsidTr="00032CD4">
        <w:tc>
          <w:tcPr>
            <w:tcW w:w="4106" w:type="dxa"/>
          </w:tcPr>
          <w:p w14:paraId="3F132930" w14:textId="77777777" w:rsidR="00032CD4" w:rsidRPr="00032CD4" w:rsidRDefault="00032CD4" w:rsidP="00AD4205">
            <w:pPr>
              <w:spacing w:before="100" w:beforeAutospacing="1" w:after="100" w:afterAutospacing="1"/>
              <w:jc w:val="both"/>
              <w:outlineLvl w:val="2"/>
              <w:rPr>
                <w:bCs/>
                <w:sz w:val="28"/>
                <w:szCs w:val="28"/>
              </w:rPr>
            </w:pPr>
            <w:r w:rsidRPr="00032CD4">
              <w:rPr>
                <w:bCs/>
                <w:sz w:val="28"/>
                <w:szCs w:val="28"/>
              </w:rPr>
              <w:t>1</w:t>
            </w:r>
          </w:p>
        </w:tc>
        <w:tc>
          <w:tcPr>
            <w:tcW w:w="5528" w:type="dxa"/>
          </w:tcPr>
          <w:p w14:paraId="5D1FF66B" w14:textId="77777777" w:rsidR="00032CD4" w:rsidRPr="00032CD4" w:rsidRDefault="00032CD4" w:rsidP="00AD4205">
            <w:pPr>
              <w:spacing w:before="100" w:beforeAutospacing="1" w:after="100" w:afterAutospacing="1"/>
              <w:jc w:val="both"/>
              <w:outlineLvl w:val="2"/>
              <w:rPr>
                <w:bCs/>
                <w:sz w:val="28"/>
                <w:szCs w:val="28"/>
              </w:rPr>
            </w:pPr>
            <w:r w:rsidRPr="00032CD4">
              <w:rPr>
                <w:bCs/>
                <w:sz w:val="28"/>
                <w:szCs w:val="28"/>
              </w:rPr>
              <w:t>2</w:t>
            </w:r>
          </w:p>
        </w:tc>
      </w:tr>
      <w:tr w:rsidR="00032CD4" w:rsidRPr="00032CD4" w14:paraId="087B159E" w14:textId="77777777" w:rsidTr="00032CD4">
        <w:tc>
          <w:tcPr>
            <w:tcW w:w="9634" w:type="dxa"/>
            <w:gridSpan w:val="2"/>
          </w:tcPr>
          <w:p w14:paraId="02D38AA9" w14:textId="77777777" w:rsidR="00032CD4" w:rsidRPr="00032CD4" w:rsidRDefault="00032CD4" w:rsidP="00AD4205">
            <w:pPr>
              <w:spacing w:before="100" w:beforeAutospacing="1" w:after="100" w:afterAutospacing="1"/>
              <w:jc w:val="both"/>
              <w:outlineLvl w:val="2"/>
              <w:rPr>
                <w:bCs/>
                <w:sz w:val="28"/>
                <w:szCs w:val="28"/>
              </w:rPr>
            </w:pPr>
            <w:r w:rsidRPr="00032CD4">
              <w:rPr>
                <w:sz w:val="28"/>
                <w:szCs w:val="28"/>
              </w:rPr>
              <w:t>1. Аудит соответствия (общие вопросы).</w:t>
            </w:r>
          </w:p>
        </w:tc>
      </w:tr>
      <w:tr w:rsidR="00032CD4" w:rsidRPr="00032CD4" w14:paraId="1025D835" w14:textId="77777777" w:rsidTr="00032CD4">
        <w:tc>
          <w:tcPr>
            <w:tcW w:w="4106" w:type="dxa"/>
            <w:vMerge w:val="restart"/>
          </w:tcPr>
          <w:p w14:paraId="74F905EB" w14:textId="77777777" w:rsidR="00032CD4" w:rsidRPr="00032CD4" w:rsidRDefault="00032CD4" w:rsidP="00AD4205">
            <w:pPr>
              <w:spacing w:before="100" w:beforeAutospacing="1" w:after="100" w:afterAutospacing="1"/>
              <w:jc w:val="both"/>
              <w:outlineLvl w:val="2"/>
              <w:rPr>
                <w:bCs/>
                <w:sz w:val="28"/>
                <w:szCs w:val="28"/>
              </w:rPr>
            </w:pPr>
            <w:r w:rsidRPr="00032CD4">
              <w:rPr>
                <w:sz w:val="28"/>
                <w:szCs w:val="28"/>
              </w:rPr>
              <w:t>Деятельность объекта государственного аудита</w:t>
            </w:r>
          </w:p>
        </w:tc>
        <w:tc>
          <w:tcPr>
            <w:tcW w:w="5528" w:type="dxa"/>
          </w:tcPr>
          <w:p w14:paraId="1065100F" w14:textId="77777777" w:rsidR="00032CD4" w:rsidRPr="00032CD4" w:rsidRDefault="00032CD4" w:rsidP="00AD4205">
            <w:pPr>
              <w:spacing w:before="100" w:beforeAutospacing="1" w:after="100" w:afterAutospacing="1"/>
              <w:jc w:val="both"/>
              <w:outlineLvl w:val="2"/>
              <w:rPr>
                <w:bCs/>
                <w:sz w:val="28"/>
                <w:szCs w:val="28"/>
              </w:rPr>
            </w:pPr>
            <w:r w:rsidRPr="00032CD4">
              <w:rPr>
                <w:sz w:val="28"/>
                <w:szCs w:val="28"/>
              </w:rPr>
              <w:t>Нормативные правовые акты, информационно-правовые системы</w:t>
            </w:r>
          </w:p>
        </w:tc>
      </w:tr>
      <w:tr w:rsidR="00032CD4" w:rsidRPr="00032CD4" w14:paraId="15332BD1" w14:textId="77777777" w:rsidTr="00032CD4">
        <w:tc>
          <w:tcPr>
            <w:tcW w:w="4106" w:type="dxa"/>
            <w:vMerge/>
          </w:tcPr>
          <w:p w14:paraId="16E42B0B" w14:textId="77777777" w:rsidR="00032CD4" w:rsidRPr="00032CD4" w:rsidRDefault="00032CD4" w:rsidP="00AD4205">
            <w:pPr>
              <w:spacing w:before="100" w:beforeAutospacing="1" w:after="100" w:afterAutospacing="1"/>
              <w:jc w:val="both"/>
              <w:outlineLvl w:val="2"/>
              <w:rPr>
                <w:bCs/>
                <w:sz w:val="28"/>
                <w:szCs w:val="28"/>
              </w:rPr>
            </w:pPr>
          </w:p>
        </w:tc>
        <w:tc>
          <w:tcPr>
            <w:tcW w:w="5528" w:type="dxa"/>
          </w:tcPr>
          <w:p w14:paraId="4A540AE7" w14:textId="77777777" w:rsidR="00032CD4" w:rsidRPr="00032CD4" w:rsidRDefault="00032CD4" w:rsidP="00AD4205">
            <w:pPr>
              <w:spacing w:before="100" w:beforeAutospacing="1" w:after="100" w:afterAutospacing="1"/>
              <w:jc w:val="both"/>
              <w:outlineLvl w:val="2"/>
              <w:rPr>
                <w:bCs/>
                <w:sz w:val="28"/>
                <w:szCs w:val="28"/>
              </w:rPr>
            </w:pPr>
            <w:r w:rsidRPr="00032CD4">
              <w:rPr>
                <w:sz w:val="28"/>
                <w:szCs w:val="28"/>
              </w:rPr>
              <w:t>Учредительные документы объекта государственного аудита (Положение, Устав и иные документы, регламентирующие деятельность объекта государственного аудита)</w:t>
            </w:r>
          </w:p>
        </w:tc>
      </w:tr>
      <w:tr w:rsidR="00032CD4" w:rsidRPr="00032CD4" w14:paraId="1A09CD42" w14:textId="77777777" w:rsidTr="00032CD4">
        <w:tc>
          <w:tcPr>
            <w:tcW w:w="4106" w:type="dxa"/>
            <w:vMerge/>
          </w:tcPr>
          <w:p w14:paraId="6724B9FB" w14:textId="77777777" w:rsidR="00032CD4" w:rsidRPr="00032CD4" w:rsidRDefault="00032CD4" w:rsidP="00AD4205">
            <w:pPr>
              <w:spacing w:before="100" w:beforeAutospacing="1" w:after="100" w:afterAutospacing="1"/>
              <w:jc w:val="both"/>
              <w:outlineLvl w:val="2"/>
              <w:rPr>
                <w:bCs/>
                <w:sz w:val="28"/>
                <w:szCs w:val="28"/>
              </w:rPr>
            </w:pPr>
          </w:p>
        </w:tc>
        <w:tc>
          <w:tcPr>
            <w:tcW w:w="5528" w:type="dxa"/>
          </w:tcPr>
          <w:p w14:paraId="06FFAFD9" w14:textId="77777777" w:rsidR="00032CD4" w:rsidRPr="00032CD4" w:rsidRDefault="00032CD4" w:rsidP="00AD4205">
            <w:pPr>
              <w:spacing w:before="100" w:beforeAutospacing="1" w:after="100" w:afterAutospacing="1"/>
              <w:jc w:val="both"/>
              <w:outlineLvl w:val="2"/>
              <w:rPr>
                <w:bCs/>
                <w:sz w:val="28"/>
                <w:szCs w:val="28"/>
              </w:rPr>
            </w:pPr>
            <w:r w:rsidRPr="00032CD4">
              <w:rPr>
                <w:sz w:val="28"/>
                <w:szCs w:val="28"/>
              </w:rPr>
              <w:t>Структура объекта государственного аудита, включая территориальные подразделения и подведомственные организации</w:t>
            </w:r>
          </w:p>
        </w:tc>
      </w:tr>
      <w:tr w:rsidR="00032CD4" w:rsidRPr="00032CD4" w14:paraId="1B11116B" w14:textId="77777777" w:rsidTr="00032CD4">
        <w:tc>
          <w:tcPr>
            <w:tcW w:w="4106" w:type="dxa"/>
            <w:vMerge/>
          </w:tcPr>
          <w:p w14:paraId="05142403" w14:textId="77777777" w:rsidR="00032CD4" w:rsidRPr="00032CD4" w:rsidRDefault="00032CD4" w:rsidP="00AD4205">
            <w:pPr>
              <w:spacing w:before="100" w:beforeAutospacing="1" w:after="100" w:afterAutospacing="1"/>
              <w:jc w:val="both"/>
              <w:outlineLvl w:val="2"/>
              <w:rPr>
                <w:bCs/>
                <w:sz w:val="28"/>
                <w:szCs w:val="28"/>
              </w:rPr>
            </w:pPr>
          </w:p>
        </w:tc>
        <w:tc>
          <w:tcPr>
            <w:tcW w:w="5528" w:type="dxa"/>
          </w:tcPr>
          <w:p w14:paraId="70B6420E" w14:textId="77777777" w:rsidR="00032CD4" w:rsidRPr="00032CD4" w:rsidRDefault="00032CD4" w:rsidP="00AD4205">
            <w:pPr>
              <w:spacing w:before="100" w:beforeAutospacing="1" w:after="100" w:afterAutospacing="1"/>
              <w:jc w:val="both"/>
              <w:outlineLvl w:val="2"/>
              <w:rPr>
                <w:bCs/>
                <w:sz w:val="28"/>
                <w:szCs w:val="28"/>
              </w:rPr>
            </w:pPr>
            <w:r w:rsidRPr="00032CD4">
              <w:rPr>
                <w:sz w:val="28"/>
                <w:szCs w:val="28"/>
              </w:rPr>
              <w:t>Изъятие правоохранительными органами правоустанавливающих и иных первичных документов</w:t>
            </w:r>
          </w:p>
        </w:tc>
      </w:tr>
      <w:tr w:rsidR="00032CD4" w:rsidRPr="00032CD4" w14:paraId="1CAB6AE9" w14:textId="77777777" w:rsidTr="00032CD4">
        <w:tc>
          <w:tcPr>
            <w:tcW w:w="4106" w:type="dxa"/>
          </w:tcPr>
          <w:p w14:paraId="78D5F2EF" w14:textId="77777777" w:rsidR="00032CD4" w:rsidRPr="00032CD4" w:rsidRDefault="00032CD4" w:rsidP="00AD4205">
            <w:pPr>
              <w:spacing w:before="100" w:beforeAutospacing="1" w:after="100" w:afterAutospacing="1"/>
              <w:jc w:val="both"/>
              <w:outlineLvl w:val="2"/>
              <w:rPr>
                <w:bCs/>
                <w:sz w:val="28"/>
                <w:szCs w:val="28"/>
              </w:rPr>
            </w:pPr>
            <w:r w:rsidRPr="00032CD4">
              <w:rPr>
                <w:sz w:val="28"/>
                <w:szCs w:val="28"/>
              </w:rPr>
              <w:t>Результаты предыдущего государственного аудита (контроля) и проверок</w:t>
            </w:r>
          </w:p>
        </w:tc>
        <w:tc>
          <w:tcPr>
            <w:tcW w:w="5528" w:type="dxa"/>
          </w:tcPr>
          <w:p w14:paraId="42D5BC73" w14:textId="77777777" w:rsidR="00032CD4" w:rsidRPr="00032CD4" w:rsidRDefault="00032CD4" w:rsidP="00AD4205">
            <w:pPr>
              <w:spacing w:before="100" w:beforeAutospacing="1" w:after="100" w:afterAutospacing="1"/>
              <w:jc w:val="both"/>
              <w:outlineLvl w:val="2"/>
              <w:rPr>
                <w:bCs/>
                <w:sz w:val="28"/>
                <w:szCs w:val="28"/>
              </w:rPr>
            </w:pPr>
            <w:r w:rsidRPr="00032CD4">
              <w:rPr>
                <w:sz w:val="28"/>
                <w:szCs w:val="28"/>
              </w:rPr>
              <w:t>Акты органов государственного аудита и финансового контроля, правоохранительных органов и других органов контроля и надзора, меры, принятые объектом государственного аудита по итогам проверок</w:t>
            </w:r>
          </w:p>
        </w:tc>
      </w:tr>
      <w:tr w:rsidR="00032CD4" w:rsidRPr="00032CD4" w14:paraId="3FFA6CE8" w14:textId="77777777" w:rsidTr="00032CD4">
        <w:tc>
          <w:tcPr>
            <w:tcW w:w="4106" w:type="dxa"/>
          </w:tcPr>
          <w:p w14:paraId="77312C08" w14:textId="77777777" w:rsidR="00032CD4" w:rsidRPr="00032CD4" w:rsidRDefault="00032CD4" w:rsidP="00AD4205">
            <w:pPr>
              <w:spacing w:before="100" w:beforeAutospacing="1" w:after="100" w:afterAutospacing="1"/>
              <w:jc w:val="both"/>
              <w:outlineLvl w:val="2"/>
              <w:rPr>
                <w:bCs/>
                <w:sz w:val="28"/>
                <w:szCs w:val="28"/>
              </w:rPr>
            </w:pPr>
            <w:r w:rsidRPr="00032CD4">
              <w:rPr>
                <w:sz w:val="28"/>
                <w:szCs w:val="28"/>
              </w:rPr>
              <w:t>Своевременное и качественное исполнение бюджета администратором бюджетных программ</w:t>
            </w:r>
          </w:p>
        </w:tc>
        <w:tc>
          <w:tcPr>
            <w:tcW w:w="5528" w:type="dxa"/>
          </w:tcPr>
          <w:p w14:paraId="3473225F" w14:textId="77777777" w:rsidR="00032CD4" w:rsidRPr="00032CD4" w:rsidRDefault="00032CD4" w:rsidP="00AD4205">
            <w:pPr>
              <w:spacing w:before="100" w:beforeAutospacing="1" w:after="100" w:afterAutospacing="1"/>
              <w:jc w:val="both"/>
              <w:outlineLvl w:val="2"/>
              <w:rPr>
                <w:bCs/>
                <w:sz w:val="28"/>
                <w:szCs w:val="28"/>
              </w:rPr>
            </w:pPr>
            <w:r w:rsidRPr="00032CD4">
              <w:rPr>
                <w:sz w:val="28"/>
                <w:szCs w:val="28"/>
              </w:rPr>
              <w:t xml:space="preserve">Отчет об исполнении государственного, республиканского и местного бюджетов на соответствующий отчетный год по соответствующему администратору бюджетных программ (информация, </w:t>
            </w:r>
            <w:r w:rsidRPr="00032CD4">
              <w:rPr>
                <w:sz w:val="28"/>
                <w:szCs w:val="28"/>
              </w:rPr>
              <w:lastRenderedPageBreak/>
              <w:t>представляемая центральным и местным уполномоченными органами по исполнению бюджета, план финансирования по платежам, план финансирования по обязательствам)</w:t>
            </w:r>
          </w:p>
        </w:tc>
      </w:tr>
      <w:tr w:rsidR="00032CD4" w:rsidRPr="00032CD4" w14:paraId="784F5407" w14:textId="77777777" w:rsidTr="00032CD4">
        <w:tc>
          <w:tcPr>
            <w:tcW w:w="4106" w:type="dxa"/>
          </w:tcPr>
          <w:p w14:paraId="0530C452" w14:textId="77777777" w:rsidR="00032CD4" w:rsidRPr="00032CD4" w:rsidRDefault="00032CD4" w:rsidP="00AD4205">
            <w:pPr>
              <w:spacing w:before="100" w:beforeAutospacing="1" w:after="100" w:afterAutospacing="1"/>
              <w:jc w:val="both"/>
              <w:outlineLvl w:val="2"/>
              <w:rPr>
                <w:bCs/>
                <w:sz w:val="28"/>
                <w:szCs w:val="28"/>
              </w:rPr>
            </w:pPr>
            <w:r w:rsidRPr="00032CD4">
              <w:rPr>
                <w:sz w:val="28"/>
                <w:szCs w:val="28"/>
              </w:rPr>
              <w:lastRenderedPageBreak/>
              <w:t>Способы проведения государственных закупок, номенклатура товаров, работ и услуг, сроки поставки товаров, работ и услуг в пределах выделенных средств из бюджета</w:t>
            </w:r>
          </w:p>
        </w:tc>
        <w:tc>
          <w:tcPr>
            <w:tcW w:w="5528" w:type="dxa"/>
          </w:tcPr>
          <w:p w14:paraId="3AE82E91" w14:textId="77777777" w:rsidR="00032CD4" w:rsidRPr="00032CD4" w:rsidRDefault="00032CD4" w:rsidP="00AD4205">
            <w:pPr>
              <w:spacing w:before="100" w:beforeAutospacing="1" w:after="100" w:afterAutospacing="1"/>
              <w:jc w:val="both"/>
              <w:outlineLvl w:val="2"/>
              <w:rPr>
                <w:bCs/>
                <w:sz w:val="28"/>
                <w:szCs w:val="28"/>
              </w:rPr>
            </w:pPr>
            <w:r w:rsidRPr="00032CD4">
              <w:rPr>
                <w:sz w:val="28"/>
                <w:szCs w:val="28"/>
              </w:rPr>
              <w:t>Годовой план государственных закупок, уточненный план государственных закупок (цифровые системы)</w:t>
            </w:r>
          </w:p>
        </w:tc>
      </w:tr>
      <w:tr w:rsidR="00032CD4" w:rsidRPr="00032CD4" w14:paraId="5F9B79CC" w14:textId="77777777" w:rsidTr="00032CD4">
        <w:tc>
          <w:tcPr>
            <w:tcW w:w="4106" w:type="dxa"/>
            <w:vMerge w:val="restart"/>
          </w:tcPr>
          <w:p w14:paraId="16578B34" w14:textId="77777777" w:rsidR="00032CD4" w:rsidRPr="00032CD4" w:rsidRDefault="00032CD4" w:rsidP="00AD4205">
            <w:pPr>
              <w:spacing w:before="100" w:beforeAutospacing="1" w:after="100" w:afterAutospacing="1"/>
              <w:jc w:val="both"/>
              <w:outlineLvl w:val="2"/>
              <w:rPr>
                <w:bCs/>
                <w:sz w:val="28"/>
                <w:szCs w:val="28"/>
              </w:rPr>
            </w:pPr>
            <w:r w:rsidRPr="00032CD4">
              <w:rPr>
                <w:sz w:val="28"/>
                <w:szCs w:val="28"/>
              </w:rPr>
              <w:t>Накопленная информация об объекте государственного аудита</w:t>
            </w:r>
          </w:p>
        </w:tc>
        <w:tc>
          <w:tcPr>
            <w:tcW w:w="5528" w:type="dxa"/>
          </w:tcPr>
          <w:p w14:paraId="37840AB4" w14:textId="77777777" w:rsidR="00032CD4" w:rsidRPr="00032CD4" w:rsidRDefault="00032CD4" w:rsidP="00AD4205">
            <w:pPr>
              <w:spacing w:before="100" w:beforeAutospacing="1" w:after="100" w:afterAutospacing="1"/>
              <w:jc w:val="both"/>
              <w:outlineLvl w:val="2"/>
              <w:rPr>
                <w:bCs/>
                <w:sz w:val="28"/>
                <w:szCs w:val="28"/>
              </w:rPr>
            </w:pPr>
            <w:r w:rsidRPr="00032CD4">
              <w:rPr>
                <w:sz w:val="28"/>
                <w:szCs w:val="28"/>
              </w:rPr>
              <w:t>Информационные базы проверяемого объекта государственного аудита, официальные статистические данные, данные средств массовой информации и других источников</w:t>
            </w:r>
          </w:p>
        </w:tc>
      </w:tr>
      <w:tr w:rsidR="00032CD4" w:rsidRPr="00032CD4" w14:paraId="549CBA1F" w14:textId="77777777" w:rsidTr="00032CD4">
        <w:tc>
          <w:tcPr>
            <w:tcW w:w="4106" w:type="dxa"/>
            <w:vMerge/>
          </w:tcPr>
          <w:p w14:paraId="6A9C8237" w14:textId="77777777" w:rsidR="00032CD4" w:rsidRPr="00032CD4" w:rsidRDefault="00032CD4" w:rsidP="00AD4205">
            <w:pPr>
              <w:spacing w:before="100" w:beforeAutospacing="1" w:after="100" w:afterAutospacing="1"/>
              <w:jc w:val="both"/>
              <w:outlineLvl w:val="2"/>
              <w:rPr>
                <w:bCs/>
                <w:sz w:val="28"/>
                <w:szCs w:val="28"/>
              </w:rPr>
            </w:pPr>
          </w:p>
        </w:tc>
        <w:tc>
          <w:tcPr>
            <w:tcW w:w="5528" w:type="dxa"/>
          </w:tcPr>
          <w:p w14:paraId="113C6288" w14:textId="77777777" w:rsidR="00032CD4" w:rsidRPr="00032CD4" w:rsidRDefault="00032CD4" w:rsidP="00AD4205">
            <w:pPr>
              <w:spacing w:before="100" w:beforeAutospacing="1" w:after="100" w:afterAutospacing="1"/>
              <w:jc w:val="both"/>
              <w:outlineLvl w:val="2"/>
              <w:rPr>
                <w:bCs/>
                <w:sz w:val="28"/>
                <w:szCs w:val="28"/>
              </w:rPr>
            </w:pPr>
            <w:r w:rsidRPr="00032CD4">
              <w:rPr>
                <w:sz w:val="28"/>
                <w:szCs w:val="28"/>
              </w:rPr>
              <w:t>Обращения (жалобы) физических и юридических лиц относительно действий (бездействия) должностных лиц объектов государственного аудита (при наличии)</w:t>
            </w:r>
          </w:p>
        </w:tc>
      </w:tr>
      <w:tr w:rsidR="00032CD4" w:rsidRPr="00032CD4" w14:paraId="73D6C1EA" w14:textId="77777777" w:rsidTr="00032CD4">
        <w:tc>
          <w:tcPr>
            <w:tcW w:w="9634" w:type="dxa"/>
            <w:gridSpan w:val="2"/>
          </w:tcPr>
          <w:p w14:paraId="1B9D1261" w14:textId="77777777" w:rsidR="00032CD4" w:rsidRPr="00032CD4" w:rsidRDefault="00032CD4" w:rsidP="00AD4205">
            <w:pPr>
              <w:spacing w:before="100" w:beforeAutospacing="1" w:after="100" w:afterAutospacing="1"/>
              <w:jc w:val="both"/>
              <w:outlineLvl w:val="2"/>
              <w:rPr>
                <w:bCs/>
                <w:sz w:val="28"/>
                <w:szCs w:val="28"/>
              </w:rPr>
            </w:pPr>
            <w:r w:rsidRPr="00032CD4">
              <w:rPr>
                <w:sz w:val="28"/>
                <w:szCs w:val="28"/>
              </w:rPr>
              <w:t>2. Аудит эффективности (общие вопросы)</w:t>
            </w:r>
          </w:p>
        </w:tc>
      </w:tr>
      <w:tr w:rsidR="00032CD4" w:rsidRPr="00032CD4" w14:paraId="6E64C7F0" w14:textId="77777777" w:rsidTr="00032CD4">
        <w:tc>
          <w:tcPr>
            <w:tcW w:w="4106" w:type="dxa"/>
            <w:vMerge w:val="restart"/>
          </w:tcPr>
          <w:p w14:paraId="10DA346F" w14:textId="77777777" w:rsidR="00032CD4" w:rsidRPr="00032CD4" w:rsidRDefault="00032CD4" w:rsidP="00AD4205">
            <w:pPr>
              <w:spacing w:before="100" w:beforeAutospacing="1" w:after="100" w:afterAutospacing="1"/>
              <w:jc w:val="both"/>
              <w:outlineLvl w:val="2"/>
              <w:rPr>
                <w:bCs/>
                <w:sz w:val="28"/>
                <w:szCs w:val="28"/>
              </w:rPr>
            </w:pPr>
            <w:r w:rsidRPr="00032CD4">
              <w:rPr>
                <w:sz w:val="28"/>
                <w:szCs w:val="28"/>
              </w:rPr>
              <w:t>Деятельность объекта государственного аудита</w:t>
            </w:r>
          </w:p>
        </w:tc>
        <w:tc>
          <w:tcPr>
            <w:tcW w:w="5528" w:type="dxa"/>
          </w:tcPr>
          <w:p w14:paraId="1E1A34B5" w14:textId="77777777" w:rsidR="00032CD4" w:rsidRPr="00032CD4" w:rsidRDefault="00032CD4" w:rsidP="00AD4205">
            <w:pPr>
              <w:spacing w:before="100" w:beforeAutospacing="1" w:after="100" w:afterAutospacing="1"/>
              <w:jc w:val="both"/>
              <w:outlineLvl w:val="2"/>
              <w:rPr>
                <w:bCs/>
                <w:sz w:val="28"/>
                <w:szCs w:val="28"/>
              </w:rPr>
            </w:pPr>
            <w:r w:rsidRPr="00032CD4">
              <w:rPr>
                <w:sz w:val="28"/>
                <w:szCs w:val="28"/>
              </w:rPr>
              <w:t>Нормативные правовые акты (информационно-правовые системы)</w:t>
            </w:r>
          </w:p>
        </w:tc>
      </w:tr>
      <w:tr w:rsidR="00032CD4" w:rsidRPr="00032CD4" w14:paraId="5668A4D7" w14:textId="77777777" w:rsidTr="00032CD4">
        <w:tc>
          <w:tcPr>
            <w:tcW w:w="4106" w:type="dxa"/>
            <w:vMerge/>
          </w:tcPr>
          <w:p w14:paraId="2B572744" w14:textId="77777777" w:rsidR="00032CD4" w:rsidRPr="00032CD4" w:rsidRDefault="00032CD4" w:rsidP="00AD4205">
            <w:pPr>
              <w:spacing w:before="100" w:beforeAutospacing="1" w:after="100" w:afterAutospacing="1"/>
              <w:jc w:val="both"/>
              <w:outlineLvl w:val="2"/>
              <w:rPr>
                <w:bCs/>
                <w:sz w:val="28"/>
                <w:szCs w:val="28"/>
              </w:rPr>
            </w:pPr>
          </w:p>
        </w:tc>
        <w:tc>
          <w:tcPr>
            <w:tcW w:w="5528" w:type="dxa"/>
          </w:tcPr>
          <w:p w14:paraId="498A36E4" w14:textId="77777777" w:rsidR="00032CD4" w:rsidRPr="00032CD4" w:rsidRDefault="00032CD4" w:rsidP="00AD4205">
            <w:pPr>
              <w:spacing w:before="100" w:beforeAutospacing="1" w:after="100" w:afterAutospacing="1"/>
              <w:jc w:val="both"/>
              <w:outlineLvl w:val="2"/>
              <w:rPr>
                <w:bCs/>
                <w:sz w:val="28"/>
                <w:szCs w:val="28"/>
              </w:rPr>
            </w:pPr>
            <w:r w:rsidRPr="00032CD4">
              <w:rPr>
                <w:sz w:val="28"/>
                <w:szCs w:val="28"/>
              </w:rPr>
              <w:t>Учредительные документы объекта государственного аудита (Положение, Устав и иные документы, регламентирующие деятельность объекта государственного аудита) (информационно-правовые системы)</w:t>
            </w:r>
          </w:p>
        </w:tc>
      </w:tr>
      <w:tr w:rsidR="00032CD4" w:rsidRPr="00032CD4" w14:paraId="3BE416D2" w14:textId="77777777" w:rsidTr="00032CD4">
        <w:tc>
          <w:tcPr>
            <w:tcW w:w="4106" w:type="dxa"/>
            <w:vMerge/>
          </w:tcPr>
          <w:p w14:paraId="0788A80C" w14:textId="77777777" w:rsidR="00032CD4" w:rsidRPr="00032CD4" w:rsidRDefault="00032CD4" w:rsidP="00AD4205">
            <w:pPr>
              <w:spacing w:before="100" w:beforeAutospacing="1" w:after="100" w:afterAutospacing="1"/>
              <w:jc w:val="both"/>
              <w:outlineLvl w:val="2"/>
              <w:rPr>
                <w:bCs/>
                <w:sz w:val="28"/>
                <w:szCs w:val="28"/>
              </w:rPr>
            </w:pPr>
          </w:p>
        </w:tc>
        <w:tc>
          <w:tcPr>
            <w:tcW w:w="5528" w:type="dxa"/>
          </w:tcPr>
          <w:p w14:paraId="20A382F8" w14:textId="77777777" w:rsidR="00032CD4" w:rsidRPr="00032CD4" w:rsidRDefault="00032CD4" w:rsidP="00AD4205">
            <w:pPr>
              <w:spacing w:before="100" w:beforeAutospacing="1" w:after="100" w:afterAutospacing="1"/>
              <w:jc w:val="both"/>
              <w:outlineLvl w:val="2"/>
              <w:rPr>
                <w:sz w:val="28"/>
                <w:szCs w:val="28"/>
              </w:rPr>
            </w:pPr>
            <w:r w:rsidRPr="00032CD4">
              <w:rPr>
                <w:sz w:val="28"/>
                <w:szCs w:val="28"/>
              </w:rPr>
              <w:t>Изъятие правоохранительными органами правоустанавливающих и иных первичных документов</w:t>
            </w:r>
          </w:p>
        </w:tc>
      </w:tr>
      <w:tr w:rsidR="00032CD4" w:rsidRPr="00032CD4" w14:paraId="58669F6C" w14:textId="77777777" w:rsidTr="00032CD4">
        <w:tc>
          <w:tcPr>
            <w:tcW w:w="4106" w:type="dxa"/>
          </w:tcPr>
          <w:p w14:paraId="384C4F01" w14:textId="77777777" w:rsidR="00032CD4" w:rsidRPr="00032CD4" w:rsidRDefault="00032CD4" w:rsidP="00AD4205">
            <w:pPr>
              <w:spacing w:before="100" w:beforeAutospacing="1" w:after="100" w:afterAutospacing="1"/>
              <w:jc w:val="both"/>
              <w:outlineLvl w:val="2"/>
              <w:rPr>
                <w:bCs/>
                <w:sz w:val="28"/>
                <w:szCs w:val="28"/>
              </w:rPr>
            </w:pPr>
            <w:r w:rsidRPr="00032CD4">
              <w:rPr>
                <w:sz w:val="28"/>
                <w:szCs w:val="28"/>
              </w:rPr>
              <w:t>Результаты предыдущего государственного аудита (контроля) и проверок</w:t>
            </w:r>
          </w:p>
        </w:tc>
        <w:tc>
          <w:tcPr>
            <w:tcW w:w="5528" w:type="dxa"/>
          </w:tcPr>
          <w:p w14:paraId="627FB599" w14:textId="77777777" w:rsidR="00032CD4" w:rsidRPr="00032CD4" w:rsidRDefault="00032CD4" w:rsidP="00AD4205">
            <w:pPr>
              <w:spacing w:before="100" w:beforeAutospacing="1" w:after="100" w:afterAutospacing="1"/>
              <w:jc w:val="both"/>
              <w:outlineLvl w:val="2"/>
              <w:rPr>
                <w:bCs/>
                <w:sz w:val="28"/>
                <w:szCs w:val="28"/>
              </w:rPr>
            </w:pPr>
            <w:r w:rsidRPr="00032CD4">
              <w:rPr>
                <w:sz w:val="28"/>
                <w:szCs w:val="28"/>
              </w:rPr>
              <w:t>Акты органов государственного аудита и финансового контроля, правоохранительных органов и других органов контроля и надзора, меры, принятые объектом государственного аудита по итогам проверок</w:t>
            </w:r>
          </w:p>
        </w:tc>
      </w:tr>
      <w:tr w:rsidR="00032CD4" w:rsidRPr="00032CD4" w14:paraId="204A73F6" w14:textId="77777777" w:rsidTr="00032CD4">
        <w:tc>
          <w:tcPr>
            <w:tcW w:w="4106" w:type="dxa"/>
            <w:vMerge w:val="restart"/>
          </w:tcPr>
          <w:p w14:paraId="73FEE133" w14:textId="77777777" w:rsidR="00032CD4" w:rsidRPr="00032CD4" w:rsidRDefault="00032CD4" w:rsidP="00AD4205">
            <w:pPr>
              <w:spacing w:before="100" w:beforeAutospacing="1" w:after="100" w:afterAutospacing="1"/>
              <w:jc w:val="both"/>
              <w:outlineLvl w:val="2"/>
              <w:rPr>
                <w:bCs/>
                <w:sz w:val="28"/>
                <w:szCs w:val="28"/>
              </w:rPr>
            </w:pPr>
            <w:r w:rsidRPr="00032CD4">
              <w:rPr>
                <w:sz w:val="28"/>
                <w:szCs w:val="28"/>
              </w:rPr>
              <w:t>Результаты и проблемы деятельности объекта государственного аудита</w:t>
            </w:r>
          </w:p>
        </w:tc>
        <w:tc>
          <w:tcPr>
            <w:tcW w:w="5528" w:type="dxa"/>
          </w:tcPr>
          <w:p w14:paraId="1412621B" w14:textId="77777777" w:rsidR="00032CD4" w:rsidRPr="00032CD4" w:rsidRDefault="00032CD4" w:rsidP="00AD4205">
            <w:pPr>
              <w:spacing w:before="100" w:beforeAutospacing="1" w:after="100" w:afterAutospacing="1"/>
              <w:jc w:val="both"/>
              <w:outlineLvl w:val="2"/>
              <w:rPr>
                <w:bCs/>
                <w:sz w:val="28"/>
                <w:szCs w:val="28"/>
              </w:rPr>
            </w:pPr>
            <w:r w:rsidRPr="00032CD4">
              <w:rPr>
                <w:sz w:val="28"/>
                <w:szCs w:val="28"/>
              </w:rPr>
              <w:t>Внутренняя отчетность, аналитические записки и обзоры, подготовленные объектом государственного аудита</w:t>
            </w:r>
          </w:p>
        </w:tc>
      </w:tr>
      <w:tr w:rsidR="00032CD4" w:rsidRPr="00032CD4" w14:paraId="26AC8A36" w14:textId="77777777" w:rsidTr="00032CD4">
        <w:tc>
          <w:tcPr>
            <w:tcW w:w="4106" w:type="dxa"/>
            <w:vMerge/>
          </w:tcPr>
          <w:p w14:paraId="634F6926" w14:textId="77777777" w:rsidR="00032CD4" w:rsidRPr="00032CD4" w:rsidRDefault="00032CD4" w:rsidP="00AD4205">
            <w:pPr>
              <w:spacing w:before="100" w:beforeAutospacing="1" w:after="100" w:afterAutospacing="1"/>
              <w:jc w:val="both"/>
              <w:outlineLvl w:val="2"/>
              <w:rPr>
                <w:sz w:val="28"/>
                <w:szCs w:val="28"/>
              </w:rPr>
            </w:pPr>
          </w:p>
        </w:tc>
        <w:tc>
          <w:tcPr>
            <w:tcW w:w="5528" w:type="dxa"/>
          </w:tcPr>
          <w:p w14:paraId="7881CD43" w14:textId="77777777" w:rsidR="00032CD4" w:rsidRPr="00032CD4" w:rsidRDefault="00032CD4" w:rsidP="00AD4205">
            <w:pPr>
              <w:spacing w:before="100" w:beforeAutospacing="1" w:after="100" w:afterAutospacing="1"/>
              <w:jc w:val="both"/>
              <w:outlineLvl w:val="2"/>
              <w:rPr>
                <w:sz w:val="28"/>
                <w:szCs w:val="28"/>
              </w:rPr>
            </w:pPr>
            <w:r w:rsidRPr="00032CD4">
              <w:rPr>
                <w:sz w:val="28"/>
                <w:szCs w:val="28"/>
              </w:rPr>
              <w:t xml:space="preserve">Внешние источники информации (официальные статистические данные, </w:t>
            </w:r>
            <w:r w:rsidRPr="00032CD4">
              <w:rPr>
                <w:sz w:val="28"/>
                <w:szCs w:val="28"/>
              </w:rPr>
              <w:lastRenderedPageBreak/>
              <w:t>материалы научно-исследовательских институтов, занимающихся проблемами, связанными с предметом программы, средства массовой информации). Информационные базы проверяемого объекта государственного аудита</w:t>
            </w:r>
          </w:p>
        </w:tc>
      </w:tr>
      <w:tr w:rsidR="00032CD4" w:rsidRPr="00032CD4" w14:paraId="7369475C" w14:textId="77777777" w:rsidTr="00032CD4">
        <w:tc>
          <w:tcPr>
            <w:tcW w:w="4106" w:type="dxa"/>
          </w:tcPr>
          <w:p w14:paraId="443F11A8" w14:textId="77777777" w:rsidR="00032CD4" w:rsidRPr="00032CD4" w:rsidRDefault="00032CD4" w:rsidP="00AD4205">
            <w:pPr>
              <w:spacing w:before="100" w:beforeAutospacing="1" w:after="100" w:afterAutospacing="1"/>
              <w:jc w:val="both"/>
              <w:outlineLvl w:val="2"/>
              <w:rPr>
                <w:bCs/>
                <w:sz w:val="28"/>
                <w:szCs w:val="28"/>
              </w:rPr>
            </w:pPr>
            <w:r w:rsidRPr="00032CD4">
              <w:rPr>
                <w:sz w:val="28"/>
                <w:szCs w:val="28"/>
              </w:rPr>
              <w:lastRenderedPageBreak/>
              <w:t>Финансовое обеспечение плана развития областей, городов республиканского значения, столицы</w:t>
            </w:r>
          </w:p>
        </w:tc>
        <w:tc>
          <w:tcPr>
            <w:tcW w:w="5528" w:type="dxa"/>
          </w:tcPr>
          <w:p w14:paraId="42954448" w14:textId="77777777" w:rsidR="00032CD4" w:rsidRPr="00032CD4" w:rsidRDefault="00032CD4" w:rsidP="00AD4205">
            <w:pPr>
              <w:spacing w:before="100" w:beforeAutospacing="1" w:after="100" w:afterAutospacing="1"/>
              <w:jc w:val="both"/>
              <w:outlineLvl w:val="2"/>
              <w:rPr>
                <w:bCs/>
                <w:sz w:val="28"/>
                <w:szCs w:val="28"/>
              </w:rPr>
            </w:pPr>
            <w:r w:rsidRPr="00032CD4">
              <w:rPr>
                <w:sz w:val="28"/>
                <w:szCs w:val="28"/>
              </w:rPr>
              <w:t>План развития государственного органа, области, города республиканского значения, столицы во взаимосвязи с бюджетными расходами</w:t>
            </w:r>
          </w:p>
        </w:tc>
      </w:tr>
      <w:tr w:rsidR="00032CD4" w:rsidRPr="00032CD4" w14:paraId="02FA9E92" w14:textId="77777777" w:rsidTr="00032CD4">
        <w:tc>
          <w:tcPr>
            <w:tcW w:w="4106" w:type="dxa"/>
            <w:vMerge w:val="restart"/>
          </w:tcPr>
          <w:p w14:paraId="28E38005" w14:textId="77777777" w:rsidR="00032CD4" w:rsidRPr="00032CD4" w:rsidRDefault="00032CD4" w:rsidP="00AD4205">
            <w:pPr>
              <w:spacing w:before="100" w:beforeAutospacing="1" w:after="100" w:afterAutospacing="1"/>
              <w:jc w:val="both"/>
              <w:outlineLvl w:val="2"/>
              <w:rPr>
                <w:bCs/>
                <w:sz w:val="28"/>
                <w:szCs w:val="28"/>
              </w:rPr>
            </w:pPr>
            <w:r w:rsidRPr="00032CD4">
              <w:rPr>
                <w:sz w:val="28"/>
                <w:szCs w:val="28"/>
              </w:rPr>
              <w:t>Осуществление основных действий и выполнение/невыполнение условий реализации программы</w:t>
            </w:r>
          </w:p>
        </w:tc>
        <w:tc>
          <w:tcPr>
            <w:tcW w:w="5528" w:type="dxa"/>
          </w:tcPr>
          <w:p w14:paraId="3AB3135D" w14:textId="77777777" w:rsidR="00032CD4" w:rsidRPr="00032CD4" w:rsidRDefault="00032CD4" w:rsidP="00AD4205">
            <w:pPr>
              <w:spacing w:before="100" w:beforeAutospacing="1" w:after="100" w:afterAutospacing="1"/>
              <w:jc w:val="both"/>
              <w:outlineLvl w:val="2"/>
              <w:rPr>
                <w:bCs/>
                <w:sz w:val="28"/>
                <w:szCs w:val="28"/>
              </w:rPr>
            </w:pPr>
            <w:r w:rsidRPr="00032CD4">
              <w:rPr>
                <w:sz w:val="28"/>
                <w:szCs w:val="28"/>
              </w:rPr>
              <w:t>Отчет о реализации плана развития области, города республиканского значения, столицы администраторами бюджетных программ за соответствующие годы</w:t>
            </w:r>
          </w:p>
        </w:tc>
      </w:tr>
      <w:tr w:rsidR="00032CD4" w:rsidRPr="00032CD4" w14:paraId="381844DD" w14:textId="77777777" w:rsidTr="00032CD4">
        <w:tc>
          <w:tcPr>
            <w:tcW w:w="4106" w:type="dxa"/>
            <w:vMerge/>
          </w:tcPr>
          <w:p w14:paraId="63A1FAF6" w14:textId="77777777" w:rsidR="00032CD4" w:rsidRPr="00032CD4" w:rsidRDefault="00032CD4" w:rsidP="00AD4205">
            <w:pPr>
              <w:spacing w:before="100" w:beforeAutospacing="1" w:after="100" w:afterAutospacing="1"/>
              <w:jc w:val="both"/>
              <w:outlineLvl w:val="2"/>
              <w:rPr>
                <w:sz w:val="28"/>
                <w:szCs w:val="28"/>
              </w:rPr>
            </w:pPr>
          </w:p>
        </w:tc>
        <w:tc>
          <w:tcPr>
            <w:tcW w:w="5528" w:type="dxa"/>
          </w:tcPr>
          <w:p w14:paraId="5825AADA" w14:textId="77777777" w:rsidR="00032CD4" w:rsidRPr="00032CD4" w:rsidRDefault="00032CD4" w:rsidP="00AD4205">
            <w:pPr>
              <w:spacing w:before="100" w:beforeAutospacing="1" w:after="100" w:afterAutospacing="1"/>
              <w:jc w:val="both"/>
              <w:outlineLvl w:val="2"/>
              <w:rPr>
                <w:sz w:val="28"/>
                <w:szCs w:val="28"/>
              </w:rPr>
            </w:pPr>
            <w:r w:rsidRPr="00032CD4">
              <w:rPr>
                <w:sz w:val="28"/>
                <w:szCs w:val="28"/>
              </w:rPr>
              <w:t>Отчет об исполнении планов мероприятий по реализации планов развития областей, городов республиканского значения, столицы</w:t>
            </w:r>
          </w:p>
        </w:tc>
      </w:tr>
      <w:tr w:rsidR="00032CD4" w:rsidRPr="00032CD4" w14:paraId="7EEB90E4" w14:textId="77777777" w:rsidTr="00032CD4">
        <w:tc>
          <w:tcPr>
            <w:tcW w:w="4106" w:type="dxa"/>
            <w:vMerge/>
          </w:tcPr>
          <w:p w14:paraId="161699B2" w14:textId="77777777" w:rsidR="00032CD4" w:rsidRPr="00032CD4" w:rsidRDefault="00032CD4" w:rsidP="00AD4205">
            <w:pPr>
              <w:spacing w:before="100" w:beforeAutospacing="1" w:after="100" w:afterAutospacing="1"/>
              <w:jc w:val="both"/>
              <w:outlineLvl w:val="2"/>
              <w:rPr>
                <w:sz w:val="28"/>
                <w:szCs w:val="28"/>
              </w:rPr>
            </w:pPr>
          </w:p>
        </w:tc>
        <w:tc>
          <w:tcPr>
            <w:tcW w:w="5528" w:type="dxa"/>
          </w:tcPr>
          <w:p w14:paraId="7C12F91C" w14:textId="77777777" w:rsidR="00032CD4" w:rsidRPr="00032CD4" w:rsidRDefault="00032CD4" w:rsidP="00AD4205">
            <w:pPr>
              <w:spacing w:before="100" w:beforeAutospacing="1" w:after="100" w:afterAutospacing="1"/>
              <w:jc w:val="both"/>
              <w:outlineLvl w:val="2"/>
              <w:rPr>
                <w:sz w:val="28"/>
                <w:szCs w:val="28"/>
              </w:rPr>
            </w:pPr>
            <w:r w:rsidRPr="00032CD4">
              <w:rPr>
                <w:sz w:val="28"/>
                <w:szCs w:val="28"/>
              </w:rPr>
              <w:t>Отчет об исполнении планов финансирования и другие финансовые документы, связанные с предметом оценки</w:t>
            </w:r>
          </w:p>
        </w:tc>
      </w:tr>
      <w:tr w:rsidR="00032CD4" w:rsidRPr="00032CD4" w14:paraId="7085CD67" w14:textId="77777777" w:rsidTr="00032CD4">
        <w:tc>
          <w:tcPr>
            <w:tcW w:w="4106" w:type="dxa"/>
            <w:vMerge w:val="restart"/>
          </w:tcPr>
          <w:p w14:paraId="2E22866C" w14:textId="77777777" w:rsidR="00032CD4" w:rsidRPr="00032CD4" w:rsidRDefault="00032CD4" w:rsidP="00AD4205">
            <w:pPr>
              <w:spacing w:before="100" w:beforeAutospacing="1" w:after="100" w:afterAutospacing="1"/>
              <w:jc w:val="both"/>
              <w:outlineLvl w:val="2"/>
              <w:rPr>
                <w:bCs/>
                <w:sz w:val="28"/>
                <w:szCs w:val="28"/>
              </w:rPr>
            </w:pPr>
            <w:r w:rsidRPr="00032CD4">
              <w:rPr>
                <w:sz w:val="28"/>
                <w:szCs w:val="28"/>
              </w:rPr>
              <w:t>Бюджетные инвестиционные проекты</w:t>
            </w:r>
          </w:p>
        </w:tc>
        <w:tc>
          <w:tcPr>
            <w:tcW w:w="5528" w:type="dxa"/>
          </w:tcPr>
          <w:p w14:paraId="7D8B9FFE" w14:textId="77777777" w:rsidR="00032CD4" w:rsidRPr="00032CD4" w:rsidRDefault="00032CD4" w:rsidP="00AD4205">
            <w:pPr>
              <w:spacing w:before="100" w:beforeAutospacing="1" w:after="100" w:afterAutospacing="1"/>
              <w:jc w:val="both"/>
              <w:outlineLvl w:val="2"/>
              <w:rPr>
                <w:bCs/>
                <w:sz w:val="28"/>
                <w:szCs w:val="28"/>
              </w:rPr>
            </w:pPr>
            <w:r w:rsidRPr="00032CD4">
              <w:rPr>
                <w:sz w:val="28"/>
                <w:szCs w:val="28"/>
              </w:rPr>
              <w:t>Бюджетные программы, за счет средств, которых производится реализация бюджетных инвестиционных проектов</w:t>
            </w:r>
          </w:p>
        </w:tc>
      </w:tr>
      <w:tr w:rsidR="00032CD4" w:rsidRPr="00032CD4" w14:paraId="6CFA0035" w14:textId="77777777" w:rsidTr="00032CD4">
        <w:tc>
          <w:tcPr>
            <w:tcW w:w="4106" w:type="dxa"/>
            <w:vMerge/>
          </w:tcPr>
          <w:p w14:paraId="5825EB9E" w14:textId="77777777" w:rsidR="00032CD4" w:rsidRPr="00032CD4" w:rsidRDefault="00032CD4" w:rsidP="00AD4205">
            <w:pPr>
              <w:spacing w:before="100" w:beforeAutospacing="1" w:after="100" w:afterAutospacing="1"/>
              <w:jc w:val="both"/>
              <w:outlineLvl w:val="2"/>
              <w:rPr>
                <w:sz w:val="28"/>
                <w:szCs w:val="28"/>
              </w:rPr>
            </w:pPr>
          </w:p>
        </w:tc>
        <w:tc>
          <w:tcPr>
            <w:tcW w:w="5528" w:type="dxa"/>
          </w:tcPr>
          <w:p w14:paraId="41CCE856" w14:textId="77777777" w:rsidR="00032CD4" w:rsidRPr="00032CD4" w:rsidRDefault="00032CD4" w:rsidP="00032CD4">
            <w:pPr>
              <w:spacing w:before="100" w:beforeAutospacing="1" w:after="100" w:afterAutospacing="1"/>
              <w:jc w:val="both"/>
              <w:outlineLvl w:val="2"/>
              <w:rPr>
                <w:sz w:val="28"/>
                <w:szCs w:val="28"/>
              </w:rPr>
            </w:pPr>
            <w:r w:rsidRPr="00032CD4">
              <w:rPr>
                <w:sz w:val="28"/>
                <w:szCs w:val="28"/>
              </w:rPr>
              <w:t>Отчет о реализации бюджетных инвестиционных проектов</w:t>
            </w:r>
            <w:r>
              <w:rPr>
                <w:sz w:val="28"/>
                <w:szCs w:val="28"/>
                <w:lang w:val="kk-KZ"/>
              </w:rPr>
              <w:t xml:space="preserve"> </w:t>
            </w:r>
            <w:r w:rsidRPr="00032CD4">
              <w:rPr>
                <w:sz w:val="28"/>
                <w:szCs w:val="28"/>
              </w:rPr>
              <w:t>администраторами бюджетных программ</w:t>
            </w:r>
          </w:p>
        </w:tc>
      </w:tr>
      <w:tr w:rsidR="00032CD4" w:rsidRPr="00032CD4" w14:paraId="20F93FB4" w14:textId="77777777" w:rsidTr="00032CD4">
        <w:tc>
          <w:tcPr>
            <w:tcW w:w="4106" w:type="dxa"/>
          </w:tcPr>
          <w:p w14:paraId="4DE6F0B5" w14:textId="77777777" w:rsidR="00032CD4" w:rsidRPr="00032CD4" w:rsidRDefault="00032CD4" w:rsidP="00AD4205">
            <w:pPr>
              <w:spacing w:before="100" w:beforeAutospacing="1" w:after="100" w:afterAutospacing="1"/>
              <w:jc w:val="both"/>
              <w:outlineLvl w:val="2"/>
              <w:rPr>
                <w:bCs/>
                <w:sz w:val="28"/>
                <w:szCs w:val="28"/>
              </w:rPr>
            </w:pPr>
            <w:r w:rsidRPr="00032CD4">
              <w:rPr>
                <w:sz w:val="28"/>
                <w:szCs w:val="28"/>
              </w:rPr>
              <w:t>Осуществление государственных закупок</w:t>
            </w:r>
          </w:p>
        </w:tc>
        <w:tc>
          <w:tcPr>
            <w:tcW w:w="5528" w:type="dxa"/>
          </w:tcPr>
          <w:p w14:paraId="2FAD288C" w14:textId="77777777" w:rsidR="00032CD4" w:rsidRPr="00032CD4" w:rsidRDefault="00032CD4" w:rsidP="00AD4205">
            <w:pPr>
              <w:spacing w:before="100" w:beforeAutospacing="1" w:after="100" w:afterAutospacing="1"/>
              <w:jc w:val="both"/>
              <w:outlineLvl w:val="2"/>
              <w:rPr>
                <w:bCs/>
                <w:sz w:val="28"/>
                <w:szCs w:val="28"/>
              </w:rPr>
            </w:pPr>
            <w:r w:rsidRPr="00032CD4">
              <w:rPr>
                <w:sz w:val="28"/>
                <w:szCs w:val="28"/>
              </w:rPr>
              <w:t>Годовой план государственных закупок объекта государственного аудита</w:t>
            </w:r>
          </w:p>
        </w:tc>
      </w:tr>
      <w:tr w:rsidR="00032CD4" w:rsidRPr="00032CD4" w14:paraId="1AA3A4A1" w14:textId="77777777" w:rsidTr="00032CD4">
        <w:tc>
          <w:tcPr>
            <w:tcW w:w="4106" w:type="dxa"/>
            <w:vMerge w:val="restart"/>
          </w:tcPr>
          <w:p w14:paraId="150DA2C0" w14:textId="77777777" w:rsidR="00032CD4" w:rsidRPr="00032CD4" w:rsidRDefault="00032CD4" w:rsidP="00AD4205">
            <w:pPr>
              <w:spacing w:before="100" w:beforeAutospacing="1" w:after="100" w:afterAutospacing="1"/>
              <w:jc w:val="both"/>
              <w:outlineLvl w:val="2"/>
              <w:rPr>
                <w:sz w:val="28"/>
                <w:szCs w:val="28"/>
              </w:rPr>
            </w:pPr>
            <w:r w:rsidRPr="00032CD4">
              <w:rPr>
                <w:sz w:val="28"/>
                <w:szCs w:val="28"/>
              </w:rPr>
              <w:t>Перечень приоритетных бюджетных инвестиций</w:t>
            </w:r>
          </w:p>
        </w:tc>
        <w:tc>
          <w:tcPr>
            <w:tcW w:w="5528" w:type="dxa"/>
          </w:tcPr>
          <w:p w14:paraId="472968BB" w14:textId="77777777" w:rsidR="00032CD4" w:rsidRPr="00032CD4" w:rsidRDefault="00032CD4" w:rsidP="00AD4205">
            <w:pPr>
              <w:spacing w:before="100" w:beforeAutospacing="1" w:after="100" w:afterAutospacing="1"/>
              <w:jc w:val="both"/>
              <w:outlineLvl w:val="2"/>
              <w:rPr>
                <w:bCs/>
                <w:sz w:val="28"/>
                <w:szCs w:val="28"/>
              </w:rPr>
            </w:pPr>
            <w:r w:rsidRPr="00032CD4">
              <w:rPr>
                <w:sz w:val="28"/>
                <w:szCs w:val="28"/>
              </w:rPr>
              <w:t>Информация по бюджетным инвестиционным проектам с указанием периода реализации проекта, подрядных организаций, сметной и договорной стоимости, ввода объектов строительства, внедрения цифровой системы в опытную и промышленную эксплуатацию</w:t>
            </w:r>
          </w:p>
        </w:tc>
      </w:tr>
      <w:tr w:rsidR="00032CD4" w:rsidRPr="00032CD4" w14:paraId="3C1F09F4" w14:textId="77777777" w:rsidTr="00032CD4">
        <w:tc>
          <w:tcPr>
            <w:tcW w:w="4106" w:type="dxa"/>
            <w:vMerge/>
          </w:tcPr>
          <w:p w14:paraId="12EF6E09" w14:textId="77777777" w:rsidR="00032CD4" w:rsidRPr="00032CD4" w:rsidRDefault="00032CD4" w:rsidP="00AD4205">
            <w:pPr>
              <w:spacing w:before="100" w:beforeAutospacing="1" w:after="100" w:afterAutospacing="1"/>
              <w:jc w:val="both"/>
              <w:outlineLvl w:val="2"/>
              <w:rPr>
                <w:sz w:val="28"/>
                <w:szCs w:val="28"/>
              </w:rPr>
            </w:pPr>
          </w:p>
        </w:tc>
        <w:tc>
          <w:tcPr>
            <w:tcW w:w="5528" w:type="dxa"/>
          </w:tcPr>
          <w:p w14:paraId="065D15EE" w14:textId="77777777" w:rsidR="00032CD4" w:rsidRPr="00032CD4" w:rsidRDefault="00032CD4" w:rsidP="00AD4205">
            <w:pPr>
              <w:spacing w:before="100" w:beforeAutospacing="1" w:after="100" w:afterAutospacing="1"/>
              <w:jc w:val="both"/>
              <w:outlineLvl w:val="2"/>
              <w:rPr>
                <w:sz w:val="28"/>
                <w:szCs w:val="28"/>
              </w:rPr>
            </w:pPr>
            <w:r w:rsidRPr="00032CD4">
              <w:rPr>
                <w:sz w:val="28"/>
                <w:szCs w:val="28"/>
              </w:rPr>
              <w:t>Перечень приоритетных бюджетных инвестиций, включая инвестиционные проекты</w:t>
            </w:r>
          </w:p>
        </w:tc>
      </w:tr>
    </w:tbl>
    <w:p w14:paraId="0DCD9BDA" w14:textId="77777777" w:rsidR="00EC4585" w:rsidRDefault="00EC4585" w:rsidP="00EC4585">
      <w:pPr>
        <w:rPr>
          <w:sz w:val="28"/>
          <w:szCs w:val="28"/>
        </w:rPr>
      </w:pPr>
    </w:p>
    <w:p w14:paraId="23E0B53E" w14:textId="77777777" w:rsidR="00032CD4" w:rsidRPr="00032CD4" w:rsidRDefault="00032CD4" w:rsidP="00EC4585">
      <w:pPr>
        <w:rPr>
          <w:sz w:val="28"/>
          <w:szCs w:val="28"/>
        </w:rPr>
      </w:pPr>
      <w:r w:rsidRPr="00032CD4">
        <w:rPr>
          <w:sz w:val="28"/>
          <w:szCs w:val="28"/>
        </w:rPr>
        <w:t>Примечание:</w:t>
      </w:r>
      <w:r w:rsidRPr="00032CD4">
        <w:rPr>
          <w:sz w:val="28"/>
          <w:szCs w:val="28"/>
        </w:rPr>
        <w:br/>
        <w:t xml:space="preserve">Данный перечень не является исчерпывающим. В ходе проведения внутреннего </w:t>
      </w:r>
      <w:r w:rsidRPr="00032CD4">
        <w:rPr>
          <w:sz w:val="28"/>
          <w:szCs w:val="28"/>
        </w:rPr>
        <w:lastRenderedPageBreak/>
        <w:t>государственного аудита запрашиваются дополнительные документы или информация.</w:t>
      </w:r>
    </w:p>
    <w:sectPr w:rsidR="00032CD4" w:rsidRPr="00032CD4" w:rsidSect="00032CD4">
      <w:headerReference w:type="even" r:id="rId6"/>
      <w:headerReference w:type="default" r:id="rId7"/>
      <w:footerReference w:type="even" r:id="rId8"/>
      <w:footerReference w:type="default" r:id="rId9"/>
      <w:headerReference w:type="first" r:id="rId10"/>
      <w:footerReference w:type="first" r:id="rId11"/>
      <w:pgSz w:w="11906" w:h="16838"/>
      <w:pgMar w:top="1418" w:right="851" w:bottom="1418" w:left="1276" w:header="709" w:footer="709" w:gutter="0"/>
      <w:pgNumType w:start="32"/>
      <w:cols w:space="708"/>
      <w:docGrid w:linePitch="360"/>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rPr>
          <w:rFonts w:ascii="Times New Roman" w:eastAsia="Times New Roman" w:hAnsi="Times New Roman" w:cs="Times New Roman"/>
          <w:lang w:eastAsia="ru-RU"/>
        </w:rPr>
      </w:pPr>
      <w:r>
        <w:rPr>
          <w:rFonts w:ascii="Times New Roman" w:eastAsia="Times New Roman" w:hAnsi="Times New Roman" w:cs="Times New Roman"/>
          <w:lang w:eastAsia="ru-RU"/>
        </w:rPr>
        <w:t>02.02.2026 16:53 Уркумбаева Толкын Женисовна</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26">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D7AC70" w14:textId="77777777" w:rsidR="00C6006A" w:rsidRDefault="00C6006A" w:rsidP="000A4383">
      <w:r>
        <w:separator/>
      </w:r>
    </w:p>
  </w:endnote>
  <w:endnote w:type="continuationSeparator" w:id="0">
    <w:p w14:paraId="755A1D30" w14:textId="77777777" w:rsidR="00C6006A" w:rsidRDefault="00C6006A" w:rsidP="000A43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1AC4A" w14:textId="77777777" w:rsidR="000A4383" w:rsidRDefault="000A4383">
    <w:pPr>
      <w:pStyle w:val="af0"/>
    </w:pPr>
  </w:p>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03.02.2026 09:20.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F6E1D7" w14:textId="77777777" w:rsidR="000A4383" w:rsidRDefault="000A4383">
    <w:pPr>
      <w:pStyle w:val="af0"/>
    </w:pPr>
  </w:p>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03.02.2026 09:20.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49A99F" w14:textId="77777777" w:rsidR="000A4383" w:rsidRDefault="000A4383">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61ACA5" w14:textId="77777777" w:rsidR="00C6006A" w:rsidRDefault="00C6006A" w:rsidP="000A4383">
      <w:r>
        <w:separator/>
      </w:r>
    </w:p>
  </w:footnote>
  <w:footnote w:type="continuationSeparator" w:id="0">
    <w:p w14:paraId="0AF98F3E" w14:textId="77777777" w:rsidR="00C6006A" w:rsidRDefault="00C6006A" w:rsidP="000A43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2641EC" w14:textId="77777777" w:rsidR="000A4383" w:rsidRDefault="000A4383">
    <w:pPr>
      <w:pStyle w:val="ae"/>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46702318"/>
      <w:docPartObj>
        <w:docPartGallery w:val="Page Numbers (Top of Page)"/>
        <w:docPartUnique/>
      </w:docPartObj>
    </w:sdtPr>
    <w:sdtContent>
      <w:p w14:paraId="3B350AC4" w14:textId="77777777" w:rsidR="000A4383" w:rsidRDefault="000A4383">
        <w:pPr>
          <w:pStyle w:val="ae"/>
          <w:jc w:val="center"/>
        </w:pPr>
        <w:r>
          <w:fldChar w:fldCharType="begin"/>
        </w:r>
        <w:r>
          <w:instrText>PAGE   \* MERGEFORMAT</w:instrText>
        </w:r>
        <w:r>
          <w:fldChar w:fldCharType="separate"/>
        </w:r>
        <w:r w:rsidR="00032CD4">
          <w:rPr>
            <w:noProof/>
          </w:rPr>
          <w:t>33</w:t>
        </w:r>
        <w:r>
          <w:fldChar w:fldCharType="end"/>
        </w:r>
      </w:p>
    </w:sdtContent>
  </w:sdt>
  <w:p w14:paraId="7CEAE2D5" w14:textId="77777777" w:rsidR="000A4383" w:rsidRDefault="000A4383">
    <w:pPr>
      <w:pStyle w:val="ae"/>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221B1F" w14:textId="77777777" w:rsidR="000A4383" w:rsidRDefault="000A4383">
    <w:pPr>
      <w:pStyle w:val="ae"/>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366C"/>
    <w:rsid w:val="00032CD4"/>
    <w:rsid w:val="000A4383"/>
    <w:rsid w:val="000B726A"/>
    <w:rsid w:val="000D68F9"/>
    <w:rsid w:val="001416AD"/>
    <w:rsid w:val="001773A5"/>
    <w:rsid w:val="00196968"/>
    <w:rsid w:val="001D6B17"/>
    <w:rsid w:val="002B0FB8"/>
    <w:rsid w:val="002B611E"/>
    <w:rsid w:val="002D1E8D"/>
    <w:rsid w:val="002E524A"/>
    <w:rsid w:val="00380A66"/>
    <w:rsid w:val="004D384F"/>
    <w:rsid w:val="00541886"/>
    <w:rsid w:val="005B0541"/>
    <w:rsid w:val="00607304"/>
    <w:rsid w:val="00623149"/>
    <w:rsid w:val="00657371"/>
    <w:rsid w:val="00664407"/>
    <w:rsid w:val="006C002B"/>
    <w:rsid w:val="00765096"/>
    <w:rsid w:val="007D0BA0"/>
    <w:rsid w:val="007D30DC"/>
    <w:rsid w:val="00827586"/>
    <w:rsid w:val="008440F3"/>
    <w:rsid w:val="00850023"/>
    <w:rsid w:val="0099366C"/>
    <w:rsid w:val="009B0525"/>
    <w:rsid w:val="009C7326"/>
    <w:rsid w:val="009E6FF8"/>
    <w:rsid w:val="00AC7A56"/>
    <w:rsid w:val="00B5779B"/>
    <w:rsid w:val="00B72A4B"/>
    <w:rsid w:val="00BC3283"/>
    <w:rsid w:val="00BC7CF9"/>
    <w:rsid w:val="00C07E35"/>
    <w:rsid w:val="00C6006A"/>
    <w:rsid w:val="00C96A19"/>
    <w:rsid w:val="00CC16B3"/>
    <w:rsid w:val="00D3130D"/>
    <w:rsid w:val="00E03B96"/>
    <w:rsid w:val="00E463CA"/>
    <w:rsid w:val="00E52F03"/>
    <w:rsid w:val="00EC45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A2496B"/>
  <w15:chartTrackingRefBased/>
  <w15:docId w15:val="{F861D508-8C9C-4601-8BC5-56330160A680}"/>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C96A19"/>
    <w:pPr>
      <w:spacing w:before="225" w:after="135" w:line="390" w:lineRule="atLeast"/>
      <w:outlineLvl w:val="2"/>
    </w:pPr>
    <w:rPr>
      <w:rFonts w:ascii="Arial" w:hAnsi="Arial" w:cs="Arial"/>
      <w:color w:val="444444"/>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nhideWhenUsed/>
    <w:rsid w:val="0099366C"/>
    <w:rPr>
      <w:sz w:val="20"/>
      <w:szCs w:val="20"/>
    </w:rPr>
  </w:style>
  <w:style w:type="character" w:customStyle="1" w:styleId="a6">
    <w:name w:val="Текст примечания Знак"/>
    <w:basedOn w:val="a0"/>
    <w:link w:val="a5"/>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paragraph" w:styleId="ab">
    <w:name w:val="Normal (Web)"/>
    <w:aliases w:val="Обычный (веб) Знак1,Обычный (веб) Знак2 Знак1,Обычный (веб) Знак Знак1 Знак1,Обычный (веб) Знак1 Знак Знак Знак,Обычный (веб) Знак Знак Знак Знак Знак,Обычный (веб) Знак1 Знак Знак Знак Знак Знак,Обычный (веб)1,Обычный (Web)"/>
    <w:basedOn w:val="a"/>
    <w:link w:val="ac"/>
    <w:uiPriority w:val="99"/>
    <w:unhideWhenUsed/>
    <w:qFormat/>
    <w:rsid w:val="000A4383"/>
    <w:pPr>
      <w:spacing w:after="360" w:line="285" w:lineRule="atLeast"/>
    </w:pPr>
    <w:rPr>
      <w:rFonts w:ascii="Arial" w:hAnsi="Arial" w:cs="Arial"/>
      <w:color w:val="666666"/>
      <w:spacing w:val="2"/>
      <w:sz w:val="20"/>
      <w:szCs w:val="20"/>
    </w:rPr>
  </w:style>
  <w:style w:type="character" w:customStyle="1" w:styleId="ac">
    <w:name w:val="Обычный (Интернет) Знак"/>
    <w:aliases w:val="Обычный (веб) Знак1 Знак,Обычный (веб) Знак2 Знак1 Знак,Обычный (веб) Знак Знак1 Знак1 Знак,Обычный (веб) Знак1 Знак Знак Знак Знак,Обычный (веб) Знак Знак Знак Знак Знак Знак,Обычный (веб) Знак1 Знак Знак Знак Знак Знак Знак"/>
    <w:link w:val="ab"/>
    <w:uiPriority w:val="99"/>
    <w:qFormat/>
    <w:locked/>
    <w:rsid w:val="000A4383"/>
    <w:rPr>
      <w:rFonts w:ascii="Arial" w:eastAsia="Times New Roman" w:hAnsi="Arial" w:cs="Arial"/>
      <w:color w:val="666666"/>
      <w:spacing w:val="2"/>
      <w:sz w:val="20"/>
      <w:szCs w:val="20"/>
      <w:lang w:eastAsia="ru-RU"/>
    </w:rPr>
  </w:style>
  <w:style w:type="character" w:styleId="ad">
    <w:name w:val="Hyperlink"/>
    <w:basedOn w:val="a0"/>
    <w:uiPriority w:val="99"/>
    <w:unhideWhenUsed/>
    <w:rsid w:val="000A4383"/>
    <w:rPr>
      <w:color w:val="0563C1" w:themeColor="hyperlink"/>
      <w:u w:val="single"/>
    </w:rPr>
  </w:style>
  <w:style w:type="paragraph" w:styleId="ae">
    <w:name w:val="header"/>
    <w:basedOn w:val="a"/>
    <w:link w:val="af"/>
    <w:uiPriority w:val="99"/>
    <w:unhideWhenUsed/>
    <w:rsid w:val="000A4383"/>
    <w:pPr>
      <w:tabs>
        <w:tab w:val="center" w:pos="4677"/>
        <w:tab w:val="right" w:pos="9355"/>
      </w:tabs>
    </w:pPr>
  </w:style>
  <w:style w:type="character" w:customStyle="1" w:styleId="af">
    <w:name w:val="Верхний колонтитул Знак"/>
    <w:basedOn w:val="a0"/>
    <w:link w:val="ae"/>
    <w:uiPriority w:val="99"/>
    <w:rsid w:val="000A4383"/>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0A4383"/>
    <w:pPr>
      <w:tabs>
        <w:tab w:val="center" w:pos="4677"/>
        <w:tab w:val="right" w:pos="9355"/>
      </w:tabs>
    </w:pPr>
  </w:style>
  <w:style w:type="character" w:customStyle="1" w:styleId="af1">
    <w:name w:val="Нижний колонтитул Знак"/>
    <w:basedOn w:val="a0"/>
    <w:link w:val="af0"/>
    <w:uiPriority w:val="99"/>
    <w:rsid w:val="000A4383"/>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C96A19"/>
    <w:rPr>
      <w:rFonts w:ascii="Arial" w:eastAsia="Times New Roman" w:hAnsi="Arial" w:cs="Arial"/>
      <w:color w:val="444444"/>
      <w:sz w:val="32"/>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926" Type="http://schemas.openxmlformats.org/officeDocument/2006/relationships/image" Target="media/image92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783</Words>
  <Characters>4466</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рс</cp:lastModifiedBy>
  <cp:revision>2</cp:revision>
  <dcterms:created xsi:type="dcterms:W3CDTF">2026-01-22T10:12:00Z</dcterms:created>
  <dcterms:modified xsi:type="dcterms:W3CDTF">2026-01-22T10:12:00Z</dcterms:modified>
</cp:coreProperties>
</file>